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388" w14:textId="4CCED330" w:rsidR="00724CAC" w:rsidRDefault="00724CAC" w:rsidP="00724CAC">
      <w:pPr>
        <w:spacing w:after="0" w:line="240" w:lineRule="auto"/>
        <w:rPr>
          <w:rFonts w:ascii="Calibri" w:eastAsia="Times New Roman" w:hAnsi="Calibri"/>
          <w:color w:val="000000" w:themeColor="text1"/>
        </w:rPr>
      </w:pPr>
      <w:r>
        <w:rPr>
          <w:noProof/>
        </w:rPr>
        <w:drawing>
          <wp:anchor distT="0" distB="0" distL="114300" distR="114300" simplePos="0" relativeHeight="251659264" behindDoc="1" locked="0" layoutInCell="1" allowOverlap="1" wp14:anchorId="5D91B0F8" wp14:editId="393EFA3A">
            <wp:simplePos x="0" y="0"/>
            <wp:positionH relativeFrom="margin">
              <wp:align>right</wp:align>
            </wp:positionH>
            <wp:positionV relativeFrom="margin">
              <wp:posOffset>8255</wp:posOffset>
            </wp:positionV>
            <wp:extent cx="1355090" cy="354330"/>
            <wp:effectExtent l="0" t="0" r="0" b="7620"/>
            <wp:wrapNone/>
            <wp:docPr id="1457297664" name="Grafik 1" descr="LOGO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AM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5090" cy="3543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proofErr w:type="gramStart"/>
      <w:r>
        <w:rPr>
          <w:rFonts w:ascii="Calibri" w:eastAsia="Times New Roman" w:hAnsi="Calibri"/>
          <w:b/>
          <w:bCs/>
          <w:color w:val="000000" w:themeColor="text1"/>
          <w:sz w:val="24"/>
          <w:szCs w:val="24"/>
        </w:rPr>
        <w:t>Erwachsenenvertreter:innen</w:t>
      </w:r>
      <w:proofErr w:type="spellEnd"/>
      <w:proofErr w:type="gramEnd"/>
      <w:r>
        <w:rPr>
          <w:rFonts w:ascii="Calibri" w:eastAsia="Times New Roman" w:hAnsi="Calibri"/>
          <w:b/>
          <w:bCs/>
          <w:color w:val="000000" w:themeColor="text1"/>
        </w:rPr>
        <w:t xml:space="preserve">                                                          </w:t>
      </w:r>
      <w:r>
        <w:rPr>
          <w:rFonts w:ascii="Calibri" w:eastAsia="Times New Roman" w:hAnsi="Calibri"/>
          <w:b/>
          <w:bCs/>
          <w:color w:val="000000" w:themeColor="text1"/>
        </w:rPr>
        <w:br/>
      </w:r>
      <w:r>
        <w:rPr>
          <w:rFonts w:ascii="Calibri" w:eastAsia="Times New Roman" w:hAnsi="Calibri"/>
          <w:color w:val="000000" w:themeColor="text1"/>
        </w:rPr>
        <w:t xml:space="preserve">unterstützt durch </w:t>
      </w:r>
      <w:r>
        <w:rPr>
          <w:rFonts w:ascii="Calibri" w:eastAsia="Times New Roman" w:hAnsi="Calibri"/>
          <w:color w:val="000000" w:themeColor="text1"/>
        </w:rPr>
        <w:br/>
        <w:t xml:space="preserve">AMB-Angehörige von Menschen mit Behinderungen     </w:t>
      </w:r>
      <w:r>
        <w:rPr>
          <w:rFonts w:ascii="Calibri" w:eastAsia="Times New Roman" w:hAnsi="Calibri"/>
          <w:color w:val="000000" w:themeColor="text1"/>
        </w:rPr>
        <w:br/>
      </w:r>
    </w:p>
    <w:p w14:paraId="5C42E47C" w14:textId="77777777" w:rsidR="00724CAC" w:rsidRPr="000C476A" w:rsidRDefault="00724CAC" w:rsidP="00724CAC">
      <w:pPr>
        <w:spacing w:after="0" w:line="240" w:lineRule="auto"/>
        <w:rPr>
          <w:rFonts w:ascii="Calibri" w:eastAsia="Times New Roman" w:hAnsi="Calibri"/>
          <w:b/>
          <w:bCs/>
          <w:sz w:val="24"/>
          <w:szCs w:val="24"/>
        </w:rPr>
      </w:pPr>
      <w:r>
        <w:rPr>
          <w:rFonts w:ascii="Calibri" w:eastAsia="Times New Roman" w:hAnsi="Calibri"/>
          <w:color w:val="000000" w:themeColor="text1"/>
          <w:sz w:val="24"/>
          <w:szCs w:val="24"/>
        </w:rPr>
        <w:br/>
      </w:r>
      <w:r w:rsidRPr="000C476A">
        <w:rPr>
          <w:rFonts w:ascii="Calibri" w:eastAsia="Times New Roman" w:hAnsi="Calibri"/>
          <w:b/>
          <w:bCs/>
          <w:sz w:val="24"/>
          <w:szCs w:val="24"/>
        </w:rPr>
        <w:t>Stimme für Menschen mit Behinderungen, die sich nicht selbst vertreten können</w:t>
      </w:r>
    </w:p>
    <w:p w14:paraId="0D446176" w14:textId="77777777" w:rsidR="00724CAC" w:rsidRPr="000C476A" w:rsidRDefault="00724CAC" w:rsidP="00724CAC">
      <w:pPr>
        <w:spacing w:after="0" w:line="240" w:lineRule="auto"/>
        <w:rPr>
          <w:rFonts w:ascii="Calibri" w:eastAsia="Times New Roman" w:hAnsi="Calibri"/>
          <w:szCs w:val="21"/>
        </w:rPr>
      </w:pPr>
    </w:p>
    <w:p w14:paraId="135B9B60"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xml:space="preserve">Es gibt Menschen mit komplexen Mehrfachbehinderungen und/oder starken Lernschwierigkeiten, also </w:t>
      </w:r>
      <w:proofErr w:type="spellStart"/>
      <w:proofErr w:type="gramStart"/>
      <w:r w:rsidRPr="00E905EF">
        <w:rPr>
          <w:rFonts w:ascii="Calibri" w:eastAsia="Times New Roman" w:hAnsi="Calibri"/>
          <w:szCs w:val="21"/>
        </w:rPr>
        <w:t>Nutzer:innen</w:t>
      </w:r>
      <w:proofErr w:type="spellEnd"/>
      <w:proofErr w:type="gramEnd"/>
      <w:r w:rsidRPr="00E905EF">
        <w:rPr>
          <w:rFonts w:ascii="Calibri" w:eastAsia="Times New Roman" w:hAnsi="Calibri"/>
          <w:szCs w:val="21"/>
        </w:rPr>
        <w:t xml:space="preserve"> mit hohem Unterstützungsbedarf, deren Bedürfnisse und Unterstützungsbedarf sich denen von </w:t>
      </w:r>
      <w:proofErr w:type="spellStart"/>
      <w:r w:rsidRPr="00E905EF">
        <w:rPr>
          <w:rFonts w:ascii="Calibri" w:eastAsia="Times New Roman" w:hAnsi="Calibri"/>
          <w:szCs w:val="21"/>
        </w:rPr>
        <w:t>Nutzer:innen</w:t>
      </w:r>
      <w:proofErr w:type="spellEnd"/>
      <w:r w:rsidRPr="00E905EF">
        <w:rPr>
          <w:rFonts w:ascii="Calibri" w:eastAsia="Times New Roman" w:hAnsi="Calibri"/>
          <w:szCs w:val="21"/>
        </w:rPr>
        <w:t>, die sich selbst vertreten können, in vielen Bereichen unterscheiden. Bei der Umsetzung der UN-BRK werden diese Menschen oft nicht berücksichtigt, obwohl sie eine gesetzliche oder gerichtliche Erwachsenenvertretung in allen Bereichen bzw. Angelegenheiten haben.</w:t>
      </w:r>
    </w:p>
    <w:p w14:paraId="3C646B7F"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xml:space="preserve">Diese hat das Recht und die Pflicht, Belange für diese Menschen zu übernehmen. Wenn die(se) Vertretung alle Bereiche betrifft, stellt sich die Frage, warum Erwachsenenvertretungen nicht gleichwertig wie die Gruppe der </w:t>
      </w:r>
      <w:proofErr w:type="spellStart"/>
      <w:proofErr w:type="gramStart"/>
      <w:r w:rsidRPr="00E905EF">
        <w:rPr>
          <w:rFonts w:ascii="Calibri" w:eastAsia="Times New Roman" w:hAnsi="Calibri"/>
          <w:szCs w:val="21"/>
        </w:rPr>
        <w:t>Nutzer:innen</w:t>
      </w:r>
      <w:proofErr w:type="spellEnd"/>
      <w:proofErr w:type="gramEnd"/>
      <w:r w:rsidRPr="00E905EF">
        <w:rPr>
          <w:rFonts w:ascii="Calibri" w:eastAsia="Times New Roman" w:hAnsi="Calibri"/>
          <w:szCs w:val="21"/>
        </w:rPr>
        <w:t>, die sich selbst vertreten kann, Anliegen für diese Menschen einbringen können/dürfen und müssen.</w:t>
      </w:r>
    </w:p>
    <w:p w14:paraId="737CB4C2"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xml:space="preserve">Weil erwachsenenvertretene Menschen mit Behinderungen in vielen Belangen, die sie direkt betreffen, keine Stimme hatten und haben, kam und kommt es zu einer bedenklichen Verschlechterung ihrer Wohn- und Arbeitssituation, also ihrer Lebensbedingungen. </w:t>
      </w:r>
      <w:r w:rsidRPr="00E905EF">
        <w:rPr>
          <w:rFonts w:ascii="Calibri" w:eastAsia="Times New Roman" w:hAnsi="Calibri"/>
          <w:szCs w:val="21"/>
        </w:rPr>
        <w:br/>
        <w:t>Wenn sie den inklusiven Alltag nicht schaffen, „verschwinden“ sie bei Eltern und Angehörigen oder in Alterseinrichtungen – und sind damit politisch nicht mehr sichtbar.</w:t>
      </w:r>
      <w:r w:rsidRPr="00E905EF">
        <w:rPr>
          <w:rFonts w:ascii="Calibri" w:eastAsia="Times New Roman" w:hAnsi="Calibri"/>
          <w:szCs w:val="21"/>
        </w:rPr>
        <w:br/>
      </w:r>
      <w:r w:rsidRPr="00E905EF">
        <w:rPr>
          <w:rFonts w:ascii="Calibri" w:eastAsia="Times New Roman" w:hAnsi="Calibri"/>
          <w:szCs w:val="21"/>
          <w:u w:val="single"/>
        </w:rPr>
        <w:t>Sie konnten und können sich nicht wehren, wenn:</w:t>
      </w:r>
    </w:p>
    <w:p w14:paraId="122F7D93" w14:textId="29B8B5FC"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xml:space="preserve">° Wohneinrichtungen ohne Berücksichtigung der individuellen Komplexität einer solchen Entscheidung für sie und ohne Einbeziehung ihrer Erwachsenenvertretung </w:t>
      </w:r>
      <w:r w:rsidR="00692D63">
        <w:rPr>
          <w:rFonts w:ascii="Calibri" w:eastAsia="Times New Roman" w:hAnsi="Calibri"/>
          <w:szCs w:val="21"/>
        </w:rPr>
        <w:t xml:space="preserve">bzw. deren Einspruchsmöglichkeit bei dortigem Wohlbefinden </w:t>
      </w:r>
      <w:r w:rsidRPr="00E905EF">
        <w:rPr>
          <w:rFonts w:ascii="Calibri" w:eastAsia="Times New Roman" w:hAnsi="Calibri"/>
          <w:szCs w:val="21"/>
        </w:rPr>
        <w:t>geschlossen werden/wurden.</w:t>
      </w:r>
      <w:r w:rsidRPr="00E905EF">
        <w:rPr>
          <w:rFonts w:ascii="Calibri" w:eastAsia="Times New Roman" w:hAnsi="Calibri"/>
          <w:szCs w:val="21"/>
        </w:rPr>
        <w:br/>
        <w:t xml:space="preserve">° </w:t>
      </w:r>
      <w:r w:rsidR="00635AB5">
        <w:rPr>
          <w:rFonts w:ascii="Calibri" w:eastAsia="Times New Roman" w:hAnsi="Calibri"/>
          <w:szCs w:val="21"/>
        </w:rPr>
        <w:t>e</w:t>
      </w:r>
      <w:r w:rsidRPr="00E905EF">
        <w:rPr>
          <w:rFonts w:ascii="Calibri" w:eastAsia="Times New Roman" w:hAnsi="Calibri"/>
          <w:szCs w:val="21"/>
        </w:rPr>
        <w:t>ine Rückkehr in einen geschützten Rahmen (Wohnen/Arbeit) bei Bedarf nicht mehr möglich ist.</w:t>
      </w:r>
    </w:p>
    <w:p w14:paraId="42F1370F" w14:textId="0FC0CF4B"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ein Neuerrichtungsstopp an geschützten Werkstätten zu einer „Verdichtung“ von „schweren Fällen“, t</w:t>
      </w:r>
      <w:r w:rsidR="00EC6399">
        <w:rPr>
          <w:rFonts w:ascii="Calibri" w:eastAsia="Times New Roman" w:hAnsi="Calibri"/>
          <w:szCs w:val="21"/>
        </w:rPr>
        <w:t>eilweise</w:t>
      </w:r>
      <w:r w:rsidRPr="00E905EF">
        <w:rPr>
          <w:rFonts w:ascii="Calibri" w:eastAsia="Times New Roman" w:hAnsi="Calibri"/>
          <w:szCs w:val="21"/>
        </w:rPr>
        <w:t xml:space="preserve"> in „sozial-psychiatrischen“ Einrichtungen, ohne Veränderungs- oder Wahlmöglichkeiten</w:t>
      </w:r>
      <w:r w:rsidR="00635AB5">
        <w:rPr>
          <w:rFonts w:ascii="Calibri" w:eastAsia="Times New Roman" w:hAnsi="Calibri"/>
          <w:szCs w:val="21"/>
        </w:rPr>
        <w:t xml:space="preserve"> </w:t>
      </w:r>
      <w:proofErr w:type="gramStart"/>
      <w:r w:rsidRPr="00E905EF">
        <w:rPr>
          <w:rFonts w:ascii="Calibri" w:eastAsia="Times New Roman" w:hAnsi="Calibri"/>
          <w:szCs w:val="21"/>
        </w:rPr>
        <w:t>führt</w:t>
      </w:r>
      <w:proofErr w:type="gramEnd"/>
      <w:r w:rsidRPr="00E905EF">
        <w:rPr>
          <w:rFonts w:ascii="Calibri" w:eastAsia="Times New Roman" w:hAnsi="Calibri"/>
          <w:szCs w:val="21"/>
        </w:rPr>
        <w:t>, was nebenbei auf eine nicht korrekte medizinische Definition von Behinderungen zurückgreift.</w:t>
      </w:r>
    </w:p>
    <w:p w14:paraId="3ADA1F4E"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sie keine Mitsprache bei der Gestaltung von Tagesstrukturen haben, die auch Möglichkeiten des Aufrechterhaltens und Verbesserns von Kompetenzen beinhalten.</w:t>
      </w:r>
    </w:p>
    <w:p w14:paraId="5CEFB98B"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Transparenz und Mitsprache für die Erwachsenenvertretung in den verschiedenen Bereichen fehlen.</w:t>
      </w:r>
    </w:p>
    <w:p w14:paraId="73ADEAE6" w14:textId="2C70D73F"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ihr Kontakt zu einer Peergroup und die Möglichkeit, Freundschaften zu schließen in einer möglichst heterogenen Gruppe mit ähnlichen Interessen und Leistungsstand durch die Deinstitutionalisierung erschwert oder verunmöglicht werden.</w:t>
      </w:r>
    </w:p>
    <w:p w14:paraId="72197ED9"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in kleinen Wohneinheiten ein Mehraugenprinzip zu ihrem Schutz fehlt.</w:t>
      </w:r>
    </w:p>
    <w:p w14:paraId="5724506E" w14:textId="45C12273"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sie lieber ein „Grund-Gruppen</w:t>
      </w:r>
      <w:r w:rsidR="00EC6399">
        <w:rPr>
          <w:rFonts w:ascii="Calibri" w:eastAsia="Times New Roman" w:hAnsi="Calibri"/>
          <w:szCs w:val="21"/>
        </w:rPr>
        <w:t>-Unterstützungs</w:t>
      </w:r>
      <w:r w:rsidRPr="00E905EF">
        <w:rPr>
          <w:rFonts w:ascii="Calibri" w:eastAsia="Times New Roman" w:hAnsi="Calibri"/>
          <w:szCs w:val="21"/>
        </w:rPr>
        <w:t xml:space="preserve">personal“ möchten mit </w:t>
      </w:r>
      <w:r w:rsidR="00EC6399">
        <w:rPr>
          <w:rFonts w:ascii="Calibri" w:eastAsia="Times New Roman" w:hAnsi="Calibri"/>
          <w:szCs w:val="21"/>
        </w:rPr>
        <w:t xml:space="preserve">nur </w:t>
      </w:r>
      <w:r w:rsidRPr="00E905EF">
        <w:rPr>
          <w:rFonts w:ascii="Calibri" w:eastAsia="Times New Roman" w:hAnsi="Calibri"/>
          <w:szCs w:val="21"/>
        </w:rPr>
        <w:t>vereinzelter mobiler Begleitung oder Assistenz.</w:t>
      </w:r>
    </w:p>
    <w:p w14:paraId="272E60B5"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wenn es die Personalressource, die sie brauchen, nicht gibt.</w:t>
      </w:r>
    </w:p>
    <w:p w14:paraId="3940C3F0"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wenn die Finanzierung bei einem Betreuungsbedarf von 24/7 überbordend ist… und anderes mehr.</w:t>
      </w:r>
      <w:r w:rsidRPr="00E905EF">
        <w:rPr>
          <w:rFonts w:ascii="Calibri" w:eastAsia="Times New Roman" w:hAnsi="Calibri"/>
          <w:szCs w:val="21"/>
        </w:rPr>
        <w:br/>
        <w:t xml:space="preserve">Um bei wichtigen Prozessen der Umgestaltung der Lebenswelten diesen oben genannten </w:t>
      </w:r>
      <w:proofErr w:type="spellStart"/>
      <w:proofErr w:type="gramStart"/>
      <w:r w:rsidRPr="00E905EF">
        <w:rPr>
          <w:rFonts w:ascii="Calibri" w:eastAsia="Times New Roman" w:hAnsi="Calibri"/>
          <w:szCs w:val="21"/>
        </w:rPr>
        <w:t>Nutzer:innen</w:t>
      </w:r>
      <w:proofErr w:type="spellEnd"/>
      <w:proofErr w:type="gramEnd"/>
      <w:r w:rsidRPr="00E905EF">
        <w:rPr>
          <w:rFonts w:ascii="Calibri" w:eastAsia="Times New Roman" w:hAnsi="Calibri"/>
          <w:szCs w:val="21"/>
        </w:rPr>
        <w:t xml:space="preserve"> selbst eine Stimme zu geben, reicht eine mobile Begleitung oder persönliche Assistenz nicht aus, da diese Menschen aufgrund ihrer Behinderung keine Anleitungskompetenz haben. Ihre Stimme ist ihre Erwachsenenvertretung.</w:t>
      </w:r>
      <w:r w:rsidRPr="00E905EF">
        <w:rPr>
          <w:rFonts w:ascii="Calibri" w:eastAsia="Times New Roman" w:hAnsi="Calibri"/>
          <w:szCs w:val="21"/>
        </w:rPr>
        <w:br/>
      </w:r>
      <w:r w:rsidRPr="00E905EF">
        <w:rPr>
          <w:rFonts w:ascii="Calibri" w:eastAsia="Times New Roman" w:hAnsi="Calibri"/>
          <w:szCs w:val="21"/>
          <w:u w:val="single"/>
        </w:rPr>
        <w:t>Daher:</w:t>
      </w:r>
    </w:p>
    <w:p w14:paraId="04A9B345" w14:textId="77777777" w:rsidR="00724CAC" w:rsidRPr="00E905EF" w:rsidRDefault="00724CAC" w:rsidP="00724CAC">
      <w:pPr>
        <w:spacing w:after="0" w:line="240" w:lineRule="auto"/>
        <w:rPr>
          <w:rFonts w:ascii="Calibri" w:eastAsia="Times New Roman" w:hAnsi="Calibri"/>
          <w:szCs w:val="21"/>
        </w:rPr>
      </w:pPr>
      <w:r w:rsidRPr="00E905EF">
        <w:rPr>
          <w:rFonts w:ascii="Calibri" w:eastAsia="Times New Roman" w:hAnsi="Calibri"/>
          <w:szCs w:val="21"/>
        </w:rPr>
        <w:t xml:space="preserve">Wenn eine Erwachsenenvertretung für alle Angelegenheiten besteht, muss diese Vertretung auch die Anliegen/Angelegenheiten vertreten (dürfen). Sonst wird dieser Teil der Menschen mit Behinderungen in den TAP-Prozessen unsichtbar bleiben. Eine Eltern- und Angehörigen-Vertretung (wie zum Beispiel über AMB oder die </w:t>
      </w:r>
      <w:proofErr w:type="spellStart"/>
      <w:r w:rsidRPr="00E905EF">
        <w:rPr>
          <w:rFonts w:ascii="Calibri" w:eastAsia="Times New Roman" w:hAnsi="Calibri"/>
          <w:szCs w:val="21"/>
        </w:rPr>
        <w:t>ArGe</w:t>
      </w:r>
      <w:proofErr w:type="spellEnd"/>
      <w:r w:rsidRPr="00E905EF">
        <w:rPr>
          <w:rFonts w:ascii="Calibri" w:eastAsia="Times New Roman" w:hAnsi="Calibri"/>
          <w:szCs w:val="21"/>
        </w:rPr>
        <w:t xml:space="preserve"> </w:t>
      </w:r>
      <w:proofErr w:type="spellStart"/>
      <w:r w:rsidRPr="00E905EF">
        <w:rPr>
          <w:rFonts w:ascii="Calibri" w:eastAsia="Times New Roman" w:hAnsi="Calibri"/>
          <w:szCs w:val="21"/>
        </w:rPr>
        <w:t>ANiT</w:t>
      </w:r>
      <w:proofErr w:type="spellEnd"/>
      <w:r w:rsidRPr="00E905EF">
        <w:rPr>
          <w:rFonts w:ascii="Calibri" w:eastAsia="Times New Roman" w:hAnsi="Calibri"/>
          <w:szCs w:val="21"/>
        </w:rPr>
        <w:t xml:space="preserve">) hat nicht die gleiche Gewichtung wie eine Erwachsenenvertretung. Es haben auch nicht alle Menschen mit Behinderungen (noch) Angehörige. Angehörige sind zudem oft selbst sehr belastet. Daher erachten wir es als dringend notwendig und als vom Gesetz geregelt, dass erwachsenenvertretene Menschen mit Behinderung gleichwertig wie andere </w:t>
      </w:r>
      <w:proofErr w:type="spellStart"/>
      <w:proofErr w:type="gramStart"/>
      <w:r w:rsidRPr="00E905EF">
        <w:rPr>
          <w:rFonts w:ascii="Calibri" w:eastAsia="Times New Roman" w:hAnsi="Calibri"/>
          <w:szCs w:val="21"/>
        </w:rPr>
        <w:t>Nutzer:innen</w:t>
      </w:r>
      <w:proofErr w:type="spellEnd"/>
      <w:proofErr w:type="gramEnd"/>
      <w:r w:rsidRPr="00E905EF">
        <w:rPr>
          <w:rFonts w:ascii="Calibri" w:eastAsia="Times New Roman" w:hAnsi="Calibri"/>
          <w:szCs w:val="21"/>
        </w:rPr>
        <w:t xml:space="preserve"> über ihre Vertretung ihre Anliegen und Bedürfnisse einbringen können, und diese auch Gehör, Anerkennung und Umsetzung finden.</w:t>
      </w:r>
      <w:r w:rsidRPr="00E905EF">
        <w:rPr>
          <w:rFonts w:ascii="Calibri" w:eastAsia="Times New Roman" w:hAnsi="Calibri"/>
          <w:szCs w:val="21"/>
        </w:rPr>
        <w:br/>
      </w:r>
    </w:p>
    <w:p w14:paraId="1675ECE6" w14:textId="7F67192B" w:rsidR="0029761F" w:rsidRPr="00724CAC" w:rsidRDefault="00724CAC" w:rsidP="00724CAC">
      <w:pPr>
        <w:spacing w:after="0" w:line="240" w:lineRule="auto"/>
        <w:rPr>
          <w:rFonts w:ascii="Calibri" w:eastAsia="Times New Roman" w:hAnsi="Calibri"/>
          <w:color w:val="000000" w:themeColor="text1"/>
          <w:szCs w:val="21"/>
        </w:rPr>
      </w:pPr>
      <w:proofErr w:type="spellStart"/>
      <w:r w:rsidRPr="00E905EF">
        <w:rPr>
          <w:rFonts w:ascii="Calibri" w:eastAsia="Times New Roman" w:hAnsi="Calibri"/>
          <w:szCs w:val="21"/>
        </w:rPr>
        <w:t>Mag.a</w:t>
      </w:r>
      <w:proofErr w:type="spellEnd"/>
      <w:r w:rsidRPr="00E905EF">
        <w:rPr>
          <w:rFonts w:ascii="Calibri" w:eastAsia="Times New Roman" w:hAnsi="Calibri"/>
          <w:szCs w:val="21"/>
        </w:rPr>
        <w:t xml:space="preserve"> Dr.in Edith Bertel, Sabine Claudia Hauser, Mag. Ing. Karl Medwed, Gerda Sitar-Wagner in Erwachsenen-Vertretung von Töchtern und Sohn mit Behinderungen (alphabetisch gereiht); </w:t>
      </w:r>
      <w:r>
        <w:rPr>
          <w:rFonts w:ascii="Calibri" w:eastAsia="Times New Roman" w:hAnsi="Calibri"/>
          <w:color w:val="000000" w:themeColor="text1"/>
          <w:szCs w:val="21"/>
        </w:rPr>
        <w:t>unterstützt vom Verein AMB-Angehörige von Menschen mit Behinderungen.</w:t>
      </w:r>
    </w:p>
    <w:sectPr w:rsidR="0029761F" w:rsidRPr="00724CAC" w:rsidSect="00724CAC">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46"/>
    <w:rsid w:val="000D4546"/>
    <w:rsid w:val="0029761F"/>
    <w:rsid w:val="00635AB5"/>
    <w:rsid w:val="00692D63"/>
    <w:rsid w:val="00724CAC"/>
    <w:rsid w:val="007E56CB"/>
    <w:rsid w:val="00E41D95"/>
    <w:rsid w:val="00E905EF"/>
    <w:rsid w:val="00EC63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6BC8"/>
  <w15:chartTrackingRefBased/>
  <w15:docId w15:val="{8DD8B15E-9AA4-4EB1-A271-985762D8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CAC"/>
    <w:pPr>
      <w:spacing w:line="256" w:lineRule="auto"/>
    </w:pPr>
  </w:style>
  <w:style w:type="paragraph" w:styleId="berschrift1">
    <w:name w:val="heading 1"/>
    <w:basedOn w:val="Standard"/>
    <w:next w:val="Standard"/>
    <w:link w:val="berschrift1Zchn"/>
    <w:uiPriority w:val="9"/>
    <w:qFormat/>
    <w:rsid w:val="000D454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D454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D4546"/>
    <w:pPr>
      <w:keepNext/>
      <w:keepLines/>
      <w:spacing w:before="160" w:after="80" w:line="259" w:lineRule="auto"/>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D4546"/>
    <w:pPr>
      <w:keepNext/>
      <w:keepLines/>
      <w:spacing w:before="80" w:after="40" w:line="259" w:lineRule="auto"/>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D4546"/>
    <w:pPr>
      <w:keepNext/>
      <w:keepLines/>
      <w:spacing w:before="80" w:after="40" w:line="259" w:lineRule="auto"/>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D4546"/>
    <w:pPr>
      <w:keepNext/>
      <w:keepLines/>
      <w:spacing w:before="40" w:after="0" w:line="259" w:lineRule="auto"/>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D4546"/>
    <w:pPr>
      <w:keepNext/>
      <w:keepLines/>
      <w:spacing w:before="40" w:after="0" w:line="259" w:lineRule="auto"/>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D4546"/>
    <w:pPr>
      <w:keepNext/>
      <w:keepLines/>
      <w:spacing w:after="0" w:line="259" w:lineRule="auto"/>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D4546"/>
    <w:pPr>
      <w:keepNext/>
      <w:keepLines/>
      <w:spacing w:after="0" w:line="259" w:lineRule="auto"/>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454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D454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D454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D454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D454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D454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D454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D454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D4546"/>
    <w:rPr>
      <w:rFonts w:eastAsiaTheme="majorEastAsia" w:cstheme="majorBidi"/>
      <w:color w:val="272727" w:themeColor="text1" w:themeTint="D8"/>
    </w:rPr>
  </w:style>
  <w:style w:type="paragraph" w:styleId="Titel">
    <w:name w:val="Title"/>
    <w:basedOn w:val="Standard"/>
    <w:next w:val="Standard"/>
    <w:link w:val="TitelZchn"/>
    <w:uiPriority w:val="10"/>
    <w:qFormat/>
    <w:rsid w:val="000D45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D454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D4546"/>
    <w:pPr>
      <w:numPr>
        <w:ilvl w:val="1"/>
      </w:numPr>
      <w:spacing w:line="259" w:lineRule="auto"/>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D454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D4546"/>
    <w:pPr>
      <w:spacing w:before="160" w:line="259" w:lineRule="auto"/>
      <w:jc w:val="center"/>
    </w:pPr>
    <w:rPr>
      <w:i/>
      <w:iCs/>
      <w:color w:val="404040" w:themeColor="text1" w:themeTint="BF"/>
    </w:rPr>
  </w:style>
  <w:style w:type="character" w:customStyle="1" w:styleId="ZitatZchn">
    <w:name w:val="Zitat Zchn"/>
    <w:basedOn w:val="Absatz-Standardschriftart"/>
    <w:link w:val="Zitat"/>
    <w:uiPriority w:val="29"/>
    <w:rsid w:val="000D4546"/>
    <w:rPr>
      <w:i/>
      <w:iCs/>
      <w:color w:val="404040" w:themeColor="text1" w:themeTint="BF"/>
    </w:rPr>
  </w:style>
  <w:style w:type="paragraph" w:styleId="Listenabsatz">
    <w:name w:val="List Paragraph"/>
    <w:basedOn w:val="Standard"/>
    <w:uiPriority w:val="34"/>
    <w:qFormat/>
    <w:rsid w:val="000D4546"/>
    <w:pPr>
      <w:spacing w:line="259" w:lineRule="auto"/>
      <w:ind w:left="720"/>
      <w:contextualSpacing/>
    </w:pPr>
  </w:style>
  <w:style w:type="character" w:styleId="IntensiveHervorhebung">
    <w:name w:val="Intense Emphasis"/>
    <w:basedOn w:val="Absatz-Standardschriftart"/>
    <w:uiPriority w:val="21"/>
    <w:qFormat/>
    <w:rsid w:val="000D4546"/>
    <w:rPr>
      <w:i/>
      <w:iCs/>
      <w:color w:val="0F4761" w:themeColor="accent1" w:themeShade="BF"/>
    </w:rPr>
  </w:style>
  <w:style w:type="paragraph" w:styleId="IntensivesZitat">
    <w:name w:val="Intense Quote"/>
    <w:basedOn w:val="Standard"/>
    <w:next w:val="Standard"/>
    <w:link w:val="IntensivesZitatZchn"/>
    <w:uiPriority w:val="30"/>
    <w:qFormat/>
    <w:rsid w:val="000D454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D4546"/>
    <w:rPr>
      <w:i/>
      <w:iCs/>
      <w:color w:val="0F4761" w:themeColor="accent1" w:themeShade="BF"/>
    </w:rPr>
  </w:style>
  <w:style w:type="character" w:styleId="IntensiverVerweis">
    <w:name w:val="Intense Reference"/>
    <w:basedOn w:val="Absatz-Standardschriftart"/>
    <w:uiPriority w:val="32"/>
    <w:qFormat/>
    <w:rsid w:val="000D45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Sitar-Wagner</dc:creator>
  <cp:keywords/>
  <dc:description/>
  <cp:lastModifiedBy>Gerda Sitar-Wagner</cp:lastModifiedBy>
  <cp:revision>7</cp:revision>
  <cp:lastPrinted>2024-03-05T13:13:00Z</cp:lastPrinted>
  <dcterms:created xsi:type="dcterms:W3CDTF">2024-02-29T16:22:00Z</dcterms:created>
  <dcterms:modified xsi:type="dcterms:W3CDTF">2024-03-05T13:14:00Z</dcterms:modified>
</cp:coreProperties>
</file>